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8A7" w:rsidRPr="005C2676" w:rsidRDefault="008B522B" w:rsidP="005C2676">
      <w:pPr>
        <w:rPr>
          <w:b/>
          <w:bCs/>
          <w:sz w:val="40"/>
          <w:szCs w:val="40"/>
        </w:rPr>
      </w:pPr>
      <w:bookmarkStart w:id="0" w:name="_GoBack"/>
      <w:r w:rsidRPr="005C2676">
        <w:rPr>
          <w:b/>
          <w:bCs/>
          <w:sz w:val="40"/>
          <w:szCs w:val="40"/>
        </w:rPr>
        <w:t>IRule 3.2 Installation and basic operation</w:t>
      </w:r>
    </w:p>
    <w:bookmarkEnd w:id="0" w:displacedByCustomXml="next"/>
    <w:sdt>
      <w:sdtPr>
        <w:id w:val="400721820"/>
        <w:docPartObj>
          <w:docPartGallery w:val="Table of Contents"/>
          <w:docPartUnique/>
        </w:docPartObj>
      </w:sdtPr>
      <w:sdtEndPr>
        <w:rPr>
          <w:rFonts w:asciiTheme="minorHAnsi" w:eastAsiaTheme="minorHAnsi" w:hAnsiTheme="minorHAnsi" w:cstheme="minorBidi"/>
          <w:b/>
          <w:bCs/>
          <w:noProof/>
          <w:color w:val="auto"/>
          <w:sz w:val="22"/>
          <w:szCs w:val="22"/>
          <w:lang w:bidi="he-IL"/>
        </w:rPr>
      </w:sdtEndPr>
      <w:sdtContent>
        <w:p w:rsidR="005C2676" w:rsidRDefault="005C2676">
          <w:pPr>
            <w:pStyle w:val="TOCHeading"/>
          </w:pPr>
          <w:r>
            <w:t>Contents</w:t>
          </w:r>
        </w:p>
        <w:p w:rsidR="005C2676" w:rsidRDefault="005C2676">
          <w:pPr>
            <w:pStyle w:val="TOC2"/>
            <w:tabs>
              <w:tab w:val="right" w:leader="dot" w:pos="9350"/>
            </w:tabs>
            <w:rPr>
              <w:rFonts w:cstheme="minorBidi"/>
              <w:noProof/>
              <w:lang w:bidi="he-IL"/>
            </w:rPr>
          </w:pPr>
          <w:r>
            <w:fldChar w:fldCharType="begin"/>
          </w:r>
          <w:r>
            <w:instrText xml:space="preserve"> TOC \o "1-3" \h \z \u </w:instrText>
          </w:r>
          <w:r>
            <w:fldChar w:fldCharType="separate"/>
          </w:r>
          <w:hyperlink w:anchor="_Toc495478698" w:history="1">
            <w:r w:rsidRPr="00FA5AD2">
              <w:rPr>
                <w:rStyle w:val="Hyperlink"/>
                <w:noProof/>
              </w:rPr>
              <w:t>What is IRule</w:t>
            </w:r>
            <w:r>
              <w:rPr>
                <w:noProof/>
                <w:webHidden/>
              </w:rPr>
              <w:tab/>
            </w:r>
            <w:r>
              <w:rPr>
                <w:noProof/>
                <w:webHidden/>
              </w:rPr>
              <w:fldChar w:fldCharType="begin"/>
            </w:r>
            <w:r>
              <w:rPr>
                <w:noProof/>
                <w:webHidden/>
              </w:rPr>
              <w:instrText xml:space="preserve"> PAGEREF _Toc495478698 \h </w:instrText>
            </w:r>
            <w:r>
              <w:rPr>
                <w:noProof/>
                <w:webHidden/>
              </w:rPr>
            </w:r>
            <w:r>
              <w:rPr>
                <w:noProof/>
                <w:webHidden/>
              </w:rPr>
              <w:fldChar w:fldCharType="separate"/>
            </w:r>
            <w:r>
              <w:rPr>
                <w:noProof/>
                <w:webHidden/>
              </w:rPr>
              <w:t>2</w:t>
            </w:r>
            <w:r>
              <w:rPr>
                <w:noProof/>
                <w:webHidden/>
              </w:rPr>
              <w:fldChar w:fldCharType="end"/>
            </w:r>
          </w:hyperlink>
        </w:p>
        <w:p w:rsidR="005C2676" w:rsidRDefault="005C2676">
          <w:pPr>
            <w:pStyle w:val="TOC2"/>
            <w:tabs>
              <w:tab w:val="right" w:leader="dot" w:pos="9350"/>
            </w:tabs>
            <w:rPr>
              <w:rFonts w:cstheme="minorBidi"/>
              <w:noProof/>
              <w:lang w:bidi="he-IL"/>
            </w:rPr>
          </w:pPr>
          <w:hyperlink w:anchor="_Toc495478699" w:history="1">
            <w:r w:rsidRPr="00FA5AD2">
              <w:rPr>
                <w:rStyle w:val="Hyperlink"/>
                <w:noProof/>
              </w:rPr>
              <w:t>System requirements</w:t>
            </w:r>
            <w:r>
              <w:rPr>
                <w:noProof/>
                <w:webHidden/>
              </w:rPr>
              <w:tab/>
            </w:r>
            <w:r>
              <w:rPr>
                <w:noProof/>
                <w:webHidden/>
              </w:rPr>
              <w:fldChar w:fldCharType="begin"/>
            </w:r>
            <w:r>
              <w:rPr>
                <w:noProof/>
                <w:webHidden/>
              </w:rPr>
              <w:instrText xml:space="preserve"> PAGEREF _Toc495478699 \h </w:instrText>
            </w:r>
            <w:r>
              <w:rPr>
                <w:noProof/>
                <w:webHidden/>
              </w:rPr>
            </w:r>
            <w:r>
              <w:rPr>
                <w:noProof/>
                <w:webHidden/>
              </w:rPr>
              <w:fldChar w:fldCharType="separate"/>
            </w:r>
            <w:r>
              <w:rPr>
                <w:noProof/>
                <w:webHidden/>
              </w:rPr>
              <w:t>2</w:t>
            </w:r>
            <w:r>
              <w:rPr>
                <w:noProof/>
                <w:webHidden/>
              </w:rPr>
              <w:fldChar w:fldCharType="end"/>
            </w:r>
          </w:hyperlink>
        </w:p>
        <w:p w:rsidR="005C2676" w:rsidRDefault="005C2676">
          <w:pPr>
            <w:pStyle w:val="TOC2"/>
            <w:tabs>
              <w:tab w:val="right" w:leader="dot" w:pos="9350"/>
            </w:tabs>
            <w:rPr>
              <w:rFonts w:cstheme="minorBidi"/>
              <w:noProof/>
              <w:lang w:bidi="he-IL"/>
            </w:rPr>
          </w:pPr>
          <w:hyperlink w:anchor="_Toc495478700" w:history="1">
            <w:r w:rsidRPr="00FA5AD2">
              <w:rPr>
                <w:rStyle w:val="Hyperlink"/>
                <w:noProof/>
              </w:rPr>
              <w:t>Installation</w:t>
            </w:r>
            <w:r>
              <w:rPr>
                <w:noProof/>
                <w:webHidden/>
              </w:rPr>
              <w:tab/>
            </w:r>
            <w:r>
              <w:rPr>
                <w:noProof/>
                <w:webHidden/>
              </w:rPr>
              <w:fldChar w:fldCharType="begin"/>
            </w:r>
            <w:r>
              <w:rPr>
                <w:noProof/>
                <w:webHidden/>
              </w:rPr>
              <w:instrText xml:space="preserve"> PAGEREF _Toc495478700 \h </w:instrText>
            </w:r>
            <w:r>
              <w:rPr>
                <w:noProof/>
                <w:webHidden/>
              </w:rPr>
            </w:r>
            <w:r>
              <w:rPr>
                <w:noProof/>
                <w:webHidden/>
              </w:rPr>
              <w:fldChar w:fldCharType="separate"/>
            </w:r>
            <w:r>
              <w:rPr>
                <w:noProof/>
                <w:webHidden/>
              </w:rPr>
              <w:t>2</w:t>
            </w:r>
            <w:r>
              <w:rPr>
                <w:noProof/>
                <w:webHidden/>
              </w:rPr>
              <w:fldChar w:fldCharType="end"/>
            </w:r>
          </w:hyperlink>
        </w:p>
        <w:p w:rsidR="005C2676" w:rsidRDefault="005C2676">
          <w:pPr>
            <w:pStyle w:val="TOC2"/>
            <w:tabs>
              <w:tab w:val="right" w:leader="dot" w:pos="9350"/>
            </w:tabs>
            <w:rPr>
              <w:rFonts w:cstheme="minorBidi"/>
              <w:noProof/>
              <w:lang w:bidi="he-IL"/>
            </w:rPr>
          </w:pPr>
          <w:hyperlink w:anchor="_Toc495478701" w:history="1">
            <w:r w:rsidRPr="00FA5AD2">
              <w:rPr>
                <w:rStyle w:val="Hyperlink"/>
                <w:noProof/>
              </w:rPr>
              <w:t>Basic Operation</w:t>
            </w:r>
            <w:r>
              <w:rPr>
                <w:noProof/>
                <w:webHidden/>
              </w:rPr>
              <w:tab/>
            </w:r>
            <w:r>
              <w:rPr>
                <w:noProof/>
                <w:webHidden/>
              </w:rPr>
              <w:fldChar w:fldCharType="begin"/>
            </w:r>
            <w:r>
              <w:rPr>
                <w:noProof/>
                <w:webHidden/>
              </w:rPr>
              <w:instrText xml:space="preserve"> PAGEREF _Toc495478701 \h </w:instrText>
            </w:r>
            <w:r>
              <w:rPr>
                <w:noProof/>
                <w:webHidden/>
              </w:rPr>
            </w:r>
            <w:r>
              <w:rPr>
                <w:noProof/>
                <w:webHidden/>
              </w:rPr>
              <w:fldChar w:fldCharType="separate"/>
            </w:r>
            <w:r>
              <w:rPr>
                <w:noProof/>
                <w:webHidden/>
              </w:rPr>
              <w:t>3</w:t>
            </w:r>
            <w:r>
              <w:rPr>
                <w:noProof/>
                <w:webHidden/>
              </w:rPr>
              <w:fldChar w:fldCharType="end"/>
            </w:r>
          </w:hyperlink>
        </w:p>
        <w:p w:rsidR="005C2676" w:rsidRDefault="005C2676">
          <w:pPr>
            <w:pStyle w:val="TOC3"/>
            <w:tabs>
              <w:tab w:val="right" w:leader="dot" w:pos="9350"/>
            </w:tabs>
            <w:rPr>
              <w:rFonts w:cstheme="minorBidi"/>
              <w:noProof/>
              <w:lang w:bidi="he-IL"/>
            </w:rPr>
          </w:pPr>
          <w:hyperlink w:anchor="_Toc495478702" w:history="1">
            <w:r w:rsidRPr="00FA5AD2">
              <w:rPr>
                <w:rStyle w:val="Hyperlink"/>
                <w:noProof/>
              </w:rPr>
              <w:t>IRule Object Attributes</w:t>
            </w:r>
            <w:r>
              <w:rPr>
                <w:noProof/>
                <w:webHidden/>
              </w:rPr>
              <w:tab/>
            </w:r>
            <w:r>
              <w:rPr>
                <w:noProof/>
                <w:webHidden/>
              </w:rPr>
              <w:fldChar w:fldCharType="begin"/>
            </w:r>
            <w:r>
              <w:rPr>
                <w:noProof/>
                <w:webHidden/>
              </w:rPr>
              <w:instrText xml:space="preserve"> PAGEREF _Toc495478702 \h </w:instrText>
            </w:r>
            <w:r>
              <w:rPr>
                <w:noProof/>
                <w:webHidden/>
              </w:rPr>
            </w:r>
            <w:r>
              <w:rPr>
                <w:noProof/>
                <w:webHidden/>
              </w:rPr>
              <w:fldChar w:fldCharType="separate"/>
            </w:r>
            <w:r>
              <w:rPr>
                <w:noProof/>
                <w:webHidden/>
              </w:rPr>
              <w:t>3</w:t>
            </w:r>
            <w:r>
              <w:rPr>
                <w:noProof/>
                <w:webHidden/>
              </w:rPr>
              <w:fldChar w:fldCharType="end"/>
            </w:r>
          </w:hyperlink>
        </w:p>
        <w:p w:rsidR="005C2676" w:rsidRDefault="005C2676">
          <w:pPr>
            <w:pStyle w:val="TOC3"/>
            <w:tabs>
              <w:tab w:val="right" w:leader="dot" w:pos="9350"/>
            </w:tabs>
            <w:rPr>
              <w:rFonts w:cstheme="minorBidi"/>
              <w:noProof/>
              <w:lang w:bidi="he-IL"/>
            </w:rPr>
          </w:pPr>
          <w:hyperlink w:anchor="_Toc495478703" w:history="1">
            <w:r w:rsidRPr="00FA5AD2">
              <w:rPr>
                <w:rStyle w:val="Hyperlink"/>
                <w:noProof/>
              </w:rPr>
              <w:t>Object Rule Attributes</w:t>
            </w:r>
            <w:r>
              <w:rPr>
                <w:noProof/>
                <w:webHidden/>
              </w:rPr>
              <w:tab/>
            </w:r>
            <w:r>
              <w:rPr>
                <w:noProof/>
                <w:webHidden/>
              </w:rPr>
              <w:fldChar w:fldCharType="begin"/>
            </w:r>
            <w:r>
              <w:rPr>
                <w:noProof/>
                <w:webHidden/>
              </w:rPr>
              <w:instrText xml:space="preserve"> PAGEREF _Toc495478703 \h </w:instrText>
            </w:r>
            <w:r>
              <w:rPr>
                <w:noProof/>
                <w:webHidden/>
              </w:rPr>
            </w:r>
            <w:r>
              <w:rPr>
                <w:noProof/>
                <w:webHidden/>
              </w:rPr>
              <w:fldChar w:fldCharType="separate"/>
            </w:r>
            <w:r>
              <w:rPr>
                <w:noProof/>
                <w:webHidden/>
              </w:rPr>
              <w:t>4</w:t>
            </w:r>
            <w:r>
              <w:rPr>
                <w:noProof/>
                <w:webHidden/>
              </w:rPr>
              <w:fldChar w:fldCharType="end"/>
            </w:r>
          </w:hyperlink>
        </w:p>
        <w:p w:rsidR="005C2676" w:rsidRDefault="005C2676">
          <w:pPr>
            <w:pStyle w:val="TOC3"/>
            <w:tabs>
              <w:tab w:val="right" w:leader="dot" w:pos="9350"/>
            </w:tabs>
            <w:rPr>
              <w:rFonts w:cstheme="minorBidi"/>
              <w:noProof/>
              <w:lang w:bidi="he-IL"/>
            </w:rPr>
          </w:pPr>
          <w:hyperlink w:anchor="_Toc495478704" w:history="1">
            <w:r w:rsidRPr="00FA5AD2">
              <w:rPr>
                <w:rStyle w:val="Hyperlink"/>
                <w:noProof/>
              </w:rPr>
              <w:t>Allocation Rule Attributes</w:t>
            </w:r>
            <w:r>
              <w:rPr>
                <w:noProof/>
                <w:webHidden/>
              </w:rPr>
              <w:tab/>
            </w:r>
            <w:r>
              <w:rPr>
                <w:noProof/>
                <w:webHidden/>
              </w:rPr>
              <w:fldChar w:fldCharType="begin"/>
            </w:r>
            <w:r>
              <w:rPr>
                <w:noProof/>
                <w:webHidden/>
              </w:rPr>
              <w:instrText xml:space="preserve"> PAGEREF _Toc495478704 \h </w:instrText>
            </w:r>
            <w:r>
              <w:rPr>
                <w:noProof/>
                <w:webHidden/>
              </w:rPr>
            </w:r>
            <w:r>
              <w:rPr>
                <w:noProof/>
                <w:webHidden/>
              </w:rPr>
              <w:fldChar w:fldCharType="separate"/>
            </w:r>
            <w:r>
              <w:rPr>
                <w:noProof/>
                <w:webHidden/>
              </w:rPr>
              <w:t>4</w:t>
            </w:r>
            <w:r>
              <w:rPr>
                <w:noProof/>
                <w:webHidden/>
              </w:rPr>
              <w:fldChar w:fldCharType="end"/>
            </w:r>
          </w:hyperlink>
        </w:p>
        <w:p w:rsidR="005C2676" w:rsidRDefault="005C2676">
          <w:r>
            <w:rPr>
              <w:b/>
              <w:bCs/>
              <w:noProof/>
            </w:rPr>
            <w:fldChar w:fldCharType="end"/>
          </w:r>
        </w:p>
      </w:sdtContent>
    </w:sdt>
    <w:p w:rsidR="005C2676" w:rsidRPr="005C2676" w:rsidRDefault="005C2676" w:rsidP="005C2676"/>
    <w:p w:rsidR="008B522B" w:rsidRDefault="008B522B"/>
    <w:p w:rsidR="005C2676" w:rsidRDefault="005C2676">
      <w:pPr>
        <w:rPr>
          <w:rFonts w:asciiTheme="majorHAnsi" w:eastAsiaTheme="majorEastAsia" w:hAnsiTheme="majorHAnsi" w:cstheme="majorBidi"/>
          <w:color w:val="2F5496" w:themeColor="accent1" w:themeShade="BF"/>
          <w:sz w:val="26"/>
          <w:szCs w:val="26"/>
        </w:rPr>
      </w:pPr>
      <w:r>
        <w:br w:type="page"/>
      </w:r>
    </w:p>
    <w:p w:rsidR="002A0B27" w:rsidRDefault="00890684" w:rsidP="005C2676">
      <w:pPr>
        <w:pStyle w:val="Heading2"/>
      </w:pPr>
      <w:bookmarkStart w:id="1" w:name="_Toc495478698"/>
      <w:r>
        <w:lastRenderedPageBreak/>
        <w:t>What</w:t>
      </w:r>
      <w:r w:rsidR="005C2676">
        <w:t xml:space="preserve"> is</w:t>
      </w:r>
      <w:r>
        <w:t xml:space="preserve"> IRule</w:t>
      </w:r>
      <w:bookmarkEnd w:id="1"/>
      <w:r>
        <w:t xml:space="preserve"> </w:t>
      </w:r>
    </w:p>
    <w:p w:rsidR="00890684" w:rsidRDefault="00890684" w:rsidP="00890684">
      <w:pPr>
        <w:autoSpaceDE w:val="0"/>
        <w:autoSpaceDN w:val="0"/>
        <w:adjustRightInd w:val="0"/>
        <w:spacing w:after="0" w:line="240" w:lineRule="auto"/>
        <w:rPr>
          <w:rFonts w:ascii="Calibri" w:hAnsi="Calibri" w:cs="Calibri"/>
          <w:sz w:val="24"/>
          <w:szCs w:val="24"/>
        </w:rPr>
      </w:pPr>
      <w:r>
        <w:rPr>
          <w:rFonts w:ascii="Calibri" w:hAnsi="Calibri" w:cs="Calibri"/>
        </w:rPr>
        <w:t xml:space="preserve">The IRule </w:t>
      </w:r>
      <w:proofErr w:type="spellStart"/>
      <w:r>
        <w:rPr>
          <w:rFonts w:ascii="Calibri" w:hAnsi="Calibri" w:cs="Calibri"/>
        </w:rPr>
        <w:t>CostPerform</w:t>
      </w:r>
      <w:proofErr w:type="spellEnd"/>
      <w:r>
        <w:rPr>
          <w:rFonts w:ascii="Calibri" w:hAnsi="Calibri" w:cs="Calibri"/>
        </w:rPr>
        <w:t xml:space="preserve"> add-on allows for the management of model allocations on the “Meta model level”. IRule extends the capabilities of conditional driver to include not only the destination but also the source object definition.</w:t>
      </w:r>
    </w:p>
    <w:p w:rsidR="00890684" w:rsidRPr="005C2676" w:rsidRDefault="00890684" w:rsidP="005C2676">
      <w:pPr>
        <w:autoSpaceDE w:val="0"/>
        <w:autoSpaceDN w:val="0"/>
        <w:adjustRightInd w:val="0"/>
        <w:spacing w:after="0" w:line="240" w:lineRule="auto"/>
        <w:rPr>
          <w:rFonts w:ascii="Calibri" w:hAnsi="Calibri" w:cs="Calibri"/>
          <w:sz w:val="24"/>
          <w:szCs w:val="24"/>
        </w:rPr>
      </w:pPr>
      <w:r w:rsidRPr="005C2676">
        <w:rPr>
          <w:rFonts w:ascii="Calibri" w:hAnsi="Calibri" w:cs="Calibri"/>
        </w:rPr>
        <w:t>IRule benefits:</w:t>
      </w:r>
    </w:p>
    <w:p w:rsidR="005C2676" w:rsidRPr="005C2676" w:rsidRDefault="00890684" w:rsidP="005C2676">
      <w:pPr>
        <w:pStyle w:val="ListParagraph"/>
        <w:numPr>
          <w:ilvl w:val="0"/>
          <w:numId w:val="6"/>
        </w:numPr>
        <w:tabs>
          <w:tab w:val="left" w:pos="220"/>
          <w:tab w:val="left" w:pos="720"/>
        </w:tabs>
        <w:autoSpaceDE w:val="0"/>
        <w:autoSpaceDN w:val="0"/>
        <w:adjustRightInd w:val="0"/>
        <w:spacing w:after="0" w:line="240" w:lineRule="auto"/>
        <w:rPr>
          <w:rFonts w:ascii="Calibri" w:hAnsi="Calibri" w:cs="Calibri"/>
          <w:sz w:val="24"/>
          <w:szCs w:val="24"/>
        </w:rPr>
      </w:pPr>
      <w:r w:rsidRPr="005C2676">
        <w:rPr>
          <w:rFonts w:ascii="Calibri" w:hAnsi="Calibri" w:cs="Calibri"/>
        </w:rPr>
        <w:t>Streamline model design</w:t>
      </w:r>
    </w:p>
    <w:p w:rsidR="00890684" w:rsidRPr="005C2676" w:rsidRDefault="00890684" w:rsidP="005C2676">
      <w:pPr>
        <w:pStyle w:val="ListParagraph"/>
        <w:numPr>
          <w:ilvl w:val="0"/>
          <w:numId w:val="6"/>
        </w:numPr>
        <w:tabs>
          <w:tab w:val="left" w:pos="220"/>
          <w:tab w:val="left" w:pos="720"/>
        </w:tabs>
        <w:autoSpaceDE w:val="0"/>
        <w:autoSpaceDN w:val="0"/>
        <w:adjustRightInd w:val="0"/>
        <w:spacing w:after="0" w:line="240" w:lineRule="auto"/>
        <w:rPr>
          <w:rFonts w:ascii="Calibri" w:hAnsi="Calibri" w:cs="Calibri"/>
          <w:sz w:val="24"/>
          <w:szCs w:val="24"/>
        </w:rPr>
      </w:pPr>
      <w:r w:rsidRPr="005C2676">
        <w:rPr>
          <w:rFonts w:ascii="Calibri" w:hAnsi="Calibri" w:cs="Calibri"/>
        </w:rPr>
        <w:t>Consistent model behavior</w:t>
      </w:r>
    </w:p>
    <w:p w:rsidR="00890684" w:rsidRPr="005C2676" w:rsidRDefault="00890684" w:rsidP="005C2676">
      <w:pPr>
        <w:pStyle w:val="ListParagraph"/>
        <w:numPr>
          <w:ilvl w:val="0"/>
          <w:numId w:val="6"/>
        </w:numPr>
        <w:tabs>
          <w:tab w:val="left" w:pos="220"/>
          <w:tab w:val="left" w:pos="720"/>
        </w:tabs>
        <w:autoSpaceDE w:val="0"/>
        <w:autoSpaceDN w:val="0"/>
        <w:adjustRightInd w:val="0"/>
        <w:spacing w:after="0" w:line="240" w:lineRule="auto"/>
        <w:rPr>
          <w:rFonts w:ascii="Calibri" w:hAnsi="Calibri" w:cs="Calibri"/>
          <w:sz w:val="24"/>
          <w:szCs w:val="24"/>
        </w:rPr>
      </w:pPr>
      <w:r w:rsidRPr="005C2676">
        <w:rPr>
          <w:rFonts w:ascii="Calibri" w:hAnsi="Calibri" w:cs="Calibri"/>
        </w:rPr>
        <w:t>Reduced construction and maintenance times</w:t>
      </w:r>
    </w:p>
    <w:p w:rsidR="00890684" w:rsidRPr="005C2676" w:rsidRDefault="00890684" w:rsidP="005C2676">
      <w:pPr>
        <w:pStyle w:val="ListParagraph"/>
        <w:numPr>
          <w:ilvl w:val="0"/>
          <w:numId w:val="6"/>
        </w:numPr>
        <w:tabs>
          <w:tab w:val="left" w:pos="220"/>
          <w:tab w:val="left" w:pos="720"/>
        </w:tabs>
        <w:autoSpaceDE w:val="0"/>
        <w:autoSpaceDN w:val="0"/>
        <w:adjustRightInd w:val="0"/>
        <w:spacing w:after="0" w:line="240" w:lineRule="auto"/>
        <w:rPr>
          <w:rFonts w:ascii="Calibri" w:hAnsi="Calibri" w:cs="Calibri"/>
          <w:sz w:val="24"/>
          <w:szCs w:val="24"/>
        </w:rPr>
      </w:pPr>
      <w:r w:rsidRPr="005C2676">
        <w:rPr>
          <w:rFonts w:ascii="Calibri" w:hAnsi="Calibri" w:cs="Calibri"/>
        </w:rPr>
        <w:t>Single logic for multiple models</w:t>
      </w:r>
    </w:p>
    <w:p w:rsidR="00890684" w:rsidRPr="005C2676" w:rsidRDefault="00890684" w:rsidP="005C2676">
      <w:pPr>
        <w:pStyle w:val="ListParagraph"/>
        <w:numPr>
          <w:ilvl w:val="0"/>
          <w:numId w:val="6"/>
        </w:numPr>
        <w:tabs>
          <w:tab w:val="left" w:pos="220"/>
          <w:tab w:val="left" w:pos="720"/>
        </w:tabs>
        <w:autoSpaceDE w:val="0"/>
        <w:autoSpaceDN w:val="0"/>
        <w:adjustRightInd w:val="0"/>
        <w:spacing w:after="0" w:line="240" w:lineRule="auto"/>
        <w:rPr>
          <w:rFonts w:ascii="Calibri" w:hAnsi="Calibri" w:cs="Calibri"/>
          <w:sz w:val="24"/>
          <w:szCs w:val="24"/>
        </w:rPr>
      </w:pPr>
      <w:r w:rsidRPr="005C2676">
        <w:rPr>
          <w:rFonts w:ascii="Calibri" w:hAnsi="Calibri" w:cs="Calibri"/>
        </w:rPr>
        <w:t>Management of allocations versions</w:t>
      </w:r>
    </w:p>
    <w:p w:rsidR="00890684" w:rsidRPr="005C2676" w:rsidRDefault="00890684" w:rsidP="005C2676">
      <w:pPr>
        <w:pStyle w:val="ListParagraph"/>
        <w:numPr>
          <w:ilvl w:val="0"/>
          <w:numId w:val="6"/>
        </w:numPr>
        <w:tabs>
          <w:tab w:val="left" w:pos="220"/>
          <w:tab w:val="left" w:pos="720"/>
        </w:tabs>
        <w:autoSpaceDE w:val="0"/>
        <w:autoSpaceDN w:val="0"/>
        <w:adjustRightInd w:val="0"/>
        <w:spacing w:after="0" w:line="240" w:lineRule="auto"/>
        <w:rPr>
          <w:rFonts w:ascii="Calibri" w:hAnsi="Calibri" w:cs="Calibri"/>
          <w:sz w:val="24"/>
          <w:szCs w:val="24"/>
        </w:rPr>
      </w:pPr>
      <w:r w:rsidRPr="005C2676">
        <w:rPr>
          <w:rFonts w:ascii="Calibri" w:hAnsi="Calibri" w:cs="Calibri"/>
        </w:rPr>
        <w:t>Additional allocation definition capabilities </w:t>
      </w:r>
    </w:p>
    <w:p w:rsidR="00890684" w:rsidRPr="005C2676" w:rsidRDefault="00890684" w:rsidP="005C2676">
      <w:pPr>
        <w:pStyle w:val="ListParagraph"/>
        <w:numPr>
          <w:ilvl w:val="0"/>
          <w:numId w:val="6"/>
        </w:numPr>
        <w:tabs>
          <w:tab w:val="left" w:pos="220"/>
          <w:tab w:val="left" w:pos="720"/>
        </w:tabs>
        <w:autoSpaceDE w:val="0"/>
        <w:autoSpaceDN w:val="0"/>
        <w:adjustRightInd w:val="0"/>
        <w:spacing w:after="0" w:line="240" w:lineRule="auto"/>
        <w:rPr>
          <w:rFonts w:ascii="Calibri" w:hAnsi="Calibri" w:cs="Calibri"/>
          <w:sz w:val="24"/>
          <w:szCs w:val="24"/>
        </w:rPr>
      </w:pPr>
      <w:r w:rsidRPr="005C2676">
        <w:rPr>
          <w:rFonts w:ascii="Calibri" w:hAnsi="Calibri" w:cs="Calibri"/>
        </w:rPr>
        <w:t>In model documentation</w:t>
      </w:r>
    </w:p>
    <w:p w:rsidR="005C2676" w:rsidRPr="005C2676" w:rsidRDefault="005C2676" w:rsidP="005C2676">
      <w:pPr>
        <w:tabs>
          <w:tab w:val="left" w:pos="220"/>
          <w:tab w:val="left" w:pos="720"/>
        </w:tabs>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For more information go to </w:t>
      </w:r>
      <w:hyperlink r:id="rId6" w:history="1">
        <w:r w:rsidRPr="00BD4180">
          <w:rPr>
            <w:rStyle w:val="Hyperlink"/>
            <w:rFonts w:ascii="Calibri" w:hAnsi="Calibri" w:cs="Calibri"/>
            <w:sz w:val="24"/>
            <w:szCs w:val="24"/>
          </w:rPr>
          <w:t>www.in-sight-analytics.com</w:t>
        </w:r>
      </w:hyperlink>
      <w:r>
        <w:rPr>
          <w:rFonts w:ascii="Calibri" w:hAnsi="Calibri" w:cs="Calibri"/>
          <w:sz w:val="24"/>
          <w:szCs w:val="24"/>
        </w:rPr>
        <w:t xml:space="preserve"> and contact us using the knowledge center or contact form.</w:t>
      </w:r>
    </w:p>
    <w:p w:rsidR="00890684" w:rsidRDefault="00890684" w:rsidP="00890684">
      <w:r>
        <w:rPr>
          <w:rFonts w:ascii="Calibri" w:hAnsi="Calibri" w:cs="Calibri"/>
        </w:rPr>
        <w:t> </w:t>
      </w:r>
    </w:p>
    <w:p w:rsidR="008B522B" w:rsidRDefault="008B522B" w:rsidP="005C2676">
      <w:pPr>
        <w:pStyle w:val="Heading2"/>
      </w:pPr>
      <w:bookmarkStart w:id="2" w:name="_Toc495478699"/>
      <w:r>
        <w:t>System requirements</w:t>
      </w:r>
      <w:bookmarkEnd w:id="2"/>
    </w:p>
    <w:p w:rsidR="008B522B" w:rsidRDefault="008B522B">
      <w:proofErr w:type="spellStart"/>
      <w:r>
        <w:t>CostPerform</w:t>
      </w:r>
      <w:proofErr w:type="spellEnd"/>
      <w:r>
        <w:t xml:space="preserve"> 9.2 and above</w:t>
      </w:r>
    </w:p>
    <w:p w:rsidR="008B522B" w:rsidRDefault="008B522B" w:rsidP="005C2676">
      <w:pPr>
        <w:pStyle w:val="Heading2"/>
      </w:pPr>
      <w:bookmarkStart w:id="3" w:name="_Toc495478700"/>
      <w:r>
        <w:t>Installation</w:t>
      </w:r>
      <w:bookmarkEnd w:id="3"/>
    </w:p>
    <w:p w:rsidR="008B522B" w:rsidRDefault="008B522B" w:rsidP="008B522B">
      <w:pPr>
        <w:pStyle w:val="ListParagraph"/>
        <w:numPr>
          <w:ilvl w:val="0"/>
          <w:numId w:val="2"/>
        </w:numPr>
      </w:pPr>
      <w:r>
        <w:t>Unzip the IRule.zip file to [</w:t>
      </w:r>
      <w:proofErr w:type="spellStart"/>
      <w:r>
        <w:t>CostPerform</w:t>
      </w:r>
      <w:proofErr w:type="spellEnd"/>
      <w:r>
        <w:t xml:space="preserve"> Installation </w:t>
      </w:r>
      <w:proofErr w:type="gramStart"/>
      <w:r>
        <w:t>folder]\IRule\</w:t>
      </w:r>
      <w:proofErr w:type="gramEnd"/>
    </w:p>
    <w:p w:rsidR="008B522B" w:rsidRDefault="008B522B" w:rsidP="008B522B">
      <w:pPr>
        <w:pStyle w:val="ListParagraph"/>
        <w:numPr>
          <w:ilvl w:val="0"/>
          <w:numId w:val="2"/>
        </w:numPr>
      </w:pPr>
      <w:r>
        <w:t>You can install IRule in a different folder, this will require you to edit the following files:</w:t>
      </w:r>
    </w:p>
    <w:p w:rsidR="008B522B" w:rsidRDefault="008B522B" w:rsidP="008B522B">
      <w:pPr>
        <w:pStyle w:val="ListParagraph"/>
        <w:numPr>
          <w:ilvl w:val="1"/>
          <w:numId w:val="2"/>
        </w:numPr>
      </w:pPr>
      <w:r w:rsidRPr="008B522B">
        <w:t>IRule Execute Compiled</w:t>
      </w:r>
      <w:r>
        <w:t xml:space="preserve"> – set the path </w:t>
      </w:r>
      <w:r w:rsidR="00A17616">
        <w:t>variable</w:t>
      </w:r>
      <w:r>
        <w:t xml:space="preserve"> to your installation path</w:t>
      </w:r>
    </w:p>
    <w:p w:rsidR="008B522B" w:rsidRDefault="008B522B" w:rsidP="008B522B">
      <w:pPr>
        <w:pStyle w:val="ListParagraph"/>
        <w:numPr>
          <w:ilvl w:val="1"/>
          <w:numId w:val="2"/>
        </w:numPr>
      </w:pPr>
      <w:proofErr w:type="spellStart"/>
      <w:r w:rsidRPr="008B522B">
        <w:t>IRuleDestribute</w:t>
      </w:r>
      <w:proofErr w:type="spellEnd"/>
      <w:r w:rsidRPr="008B522B">
        <w:t xml:space="preserve"> Execute Compiled</w:t>
      </w:r>
      <w:r>
        <w:t xml:space="preserve"> – set the path </w:t>
      </w:r>
      <w:r w:rsidR="00A17616">
        <w:t>variable</w:t>
      </w:r>
      <w:r>
        <w:t xml:space="preserve"> to your installation path</w:t>
      </w:r>
    </w:p>
    <w:p w:rsidR="00A17616" w:rsidRDefault="00A17616" w:rsidP="00A17616">
      <w:pPr>
        <w:pStyle w:val="ListParagraph"/>
        <w:numPr>
          <w:ilvl w:val="0"/>
          <w:numId w:val="2"/>
        </w:numPr>
      </w:pPr>
      <w:r>
        <w:t>Import the attribute tabs – optional</w:t>
      </w:r>
    </w:p>
    <w:p w:rsidR="00A17616" w:rsidRDefault="00A17616" w:rsidP="00A17616">
      <w:pPr>
        <w:pStyle w:val="ListParagraph"/>
        <w:numPr>
          <w:ilvl w:val="1"/>
          <w:numId w:val="2"/>
        </w:numPr>
      </w:pPr>
      <w:r w:rsidRPr="00A17616">
        <w:t>IRule - Applied Rule Attribute Tab.xml</w:t>
      </w:r>
      <w:r>
        <w:t xml:space="preserve"> – used to identify and control the applied rule on an object</w:t>
      </w:r>
    </w:p>
    <w:p w:rsidR="00A17616" w:rsidRDefault="00A17616" w:rsidP="00A17616">
      <w:pPr>
        <w:pStyle w:val="ListParagraph"/>
        <w:numPr>
          <w:ilvl w:val="1"/>
          <w:numId w:val="2"/>
        </w:numPr>
      </w:pPr>
      <w:r w:rsidRPr="00A17616">
        <w:t>IRule Attribute Tab.xml</w:t>
      </w:r>
      <w:r>
        <w:t xml:space="preserve"> – used to configure a rule</w:t>
      </w:r>
    </w:p>
    <w:p w:rsidR="00A17616" w:rsidRDefault="00A17616" w:rsidP="00A17616">
      <w:pPr>
        <w:pStyle w:val="ListParagraph"/>
        <w:numPr>
          <w:ilvl w:val="0"/>
          <w:numId w:val="2"/>
        </w:numPr>
      </w:pPr>
      <w:r>
        <w:t xml:space="preserve">Add custom actions, set both to not show script window and use </w:t>
      </w:r>
      <w:proofErr w:type="spellStart"/>
      <w:r>
        <w:t>costmodel</w:t>
      </w:r>
      <w:proofErr w:type="spellEnd"/>
      <w:r>
        <w:t xml:space="preserve"> context</w:t>
      </w:r>
    </w:p>
    <w:p w:rsidR="00A17616" w:rsidRDefault="00A17616" w:rsidP="00A17616">
      <w:pPr>
        <w:pStyle w:val="ListParagraph"/>
        <w:numPr>
          <w:ilvl w:val="1"/>
          <w:numId w:val="2"/>
        </w:numPr>
      </w:pPr>
      <w:r w:rsidRPr="00A17616">
        <w:t>C:\Program Files (x</w:t>
      </w:r>
      <w:proofErr w:type="gramStart"/>
      <w:r w:rsidRPr="00A17616">
        <w:t>86)\</w:t>
      </w:r>
      <w:proofErr w:type="spellStart"/>
      <w:r w:rsidRPr="00A17616">
        <w:t>CostPerform</w:t>
      </w:r>
      <w:proofErr w:type="spellEnd"/>
      <w:r w:rsidRPr="00A17616">
        <w:t>\IRule\IRule</w:t>
      </w:r>
      <w:proofErr w:type="gramEnd"/>
      <w:r w:rsidRPr="00A17616">
        <w:t xml:space="preserve"> Execute </w:t>
      </w:r>
      <w:proofErr w:type="spellStart"/>
      <w:r w:rsidRPr="00A17616">
        <w:t>Compiled.ccs</w:t>
      </w:r>
      <w:proofErr w:type="spellEnd"/>
      <w:r>
        <w:t xml:space="preserve"> – for use of IRule on a single model\period</w:t>
      </w:r>
    </w:p>
    <w:p w:rsidR="00A17616" w:rsidRDefault="00A17616" w:rsidP="00A17616">
      <w:pPr>
        <w:pStyle w:val="ListParagraph"/>
        <w:numPr>
          <w:ilvl w:val="1"/>
          <w:numId w:val="2"/>
        </w:numPr>
      </w:pPr>
      <w:r w:rsidRPr="00A17616">
        <w:t>C:\Program Files (x</w:t>
      </w:r>
      <w:proofErr w:type="gramStart"/>
      <w:r w:rsidRPr="00A17616">
        <w:t>86)\</w:t>
      </w:r>
      <w:proofErr w:type="spellStart"/>
      <w:r w:rsidRPr="00A17616">
        <w:t>CostPerform</w:t>
      </w:r>
      <w:proofErr w:type="spellEnd"/>
      <w:r w:rsidRPr="00A17616">
        <w:t>\IRule\</w:t>
      </w:r>
      <w:proofErr w:type="spellStart"/>
      <w:r w:rsidRPr="00A17616">
        <w:t>IRuleDestribute</w:t>
      </w:r>
      <w:proofErr w:type="spellEnd"/>
      <w:proofErr w:type="gramEnd"/>
      <w:r w:rsidRPr="00A17616">
        <w:t xml:space="preserve"> Execute </w:t>
      </w:r>
      <w:proofErr w:type="spellStart"/>
      <w:r w:rsidRPr="00A17616">
        <w:t>Compiled.ccs</w:t>
      </w:r>
      <w:proofErr w:type="spellEnd"/>
      <w:r>
        <w:t xml:space="preserve"> – for use of IRule with multiple model\periods</w:t>
      </w:r>
    </w:p>
    <w:p w:rsidR="005C2676" w:rsidRDefault="005C2676">
      <w:pPr>
        <w:rPr>
          <w:rFonts w:asciiTheme="majorHAnsi" w:eastAsiaTheme="majorEastAsia" w:hAnsiTheme="majorHAnsi" w:cstheme="majorBidi"/>
          <w:color w:val="2F5496" w:themeColor="accent1" w:themeShade="BF"/>
          <w:sz w:val="26"/>
          <w:szCs w:val="26"/>
        </w:rPr>
      </w:pPr>
      <w:r>
        <w:br w:type="page"/>
      </w:r>
    </w:p>
    <w:p w:rsidR="00A17616" w:rsidRDefault="00A17616" w:rsidP="005C2676">
      <w:pPr>
        <w:pStyle w:val="Heading2"/>
      </w:pPr>
      <w:bookmarkStart w:id="4" w:name="_Toc495478701"/>
      <w:r>
        <w:lastRenderedPageBreak/>
        <w:t>Basic Operation</w:t>
      </w:r>
      <w:bookmarkEnd w:id="4"/>
    </w:p>
    <w:p w:rsidR="00A17616" w:rsidRDefault="00A17616" w:rsidP="00A17616">
      <w:pPr>
        <w:pStyle w:val="ListParagraph"/>
        <w:numPr>
          <w:ilvl w:val="0"/>
          <w:numId w:val="4"/>
        </w:numPr>
      </w:pPr>
      <w:r>
        <w:t>Upgrading a metamodel to use IRule</w:t>
      </w:r>
    </w:p>
    <w:p w:rsidR="00922DA8" w:rsidRDefault="00A17616" w:rsidP="00A17616">
      <w:pPr>
        <w:pStyle w:val="ListParagraph"/>
        <w:numPr>
          <w:ilvl w:val="1"/>
          <w:numId w:val="4"/>
        </w:numPr>
      </w:pPr>
      <w:r>
        <w:t xml:space="preserve">From the installation folder </w:t>
      </w:r>
      <w:r w:rsidR="00922DA8">
        <w:t>run</w:t>
      </w:r>
      <w:r>
        <w:t xml:space="preserve"> the </w:t>
      </w:r>
      <w:r w:rsidRPr="00A17616">
        <w:t xml:space="preserve">IRule Metadata </w:t>
      </w:r>
      <w:proofErr w:type="spellStart"/>
      <w:r w:rsidRPr="00A17616">
        <w:t>Upgrade</w:t>
      </w:r>
      <w:r w:rsidR="00922DA8">
        <w:t>.ccs</w:t>
      </w:r>
      <w:proofErr w:type="spellEnd"/>
      <w:r w:rsidR="00922DA8">
        <w:t xml:space="preserve"> script file. You will be asked which metamodels would you like to upgrade, you can choose either a single metamodel or multiple metamodels to upgrade. The script will add the Rules layer and required attributes both to the Rules layer, common attributes and allocation attributes.</w:t>
      </w:r>
    </w:p>
    <w:p w:rsidR="00922DA8" w:rsidRDefault="00922DA8" w:rsidP="00A17616">
      <w:pPr>
        <w:pStyle w:val="ListParagraph"/>
        <w:numPr>
          <w:ilvl w:val="1"/>
          <w:numId w:val="4"/>
        </w:numPr>
      </w:pPr>
      <w:r>
        <w:t>It is recommended to place the Rules layer as the first layer of the model as a best practice</w:t>
      </w:r>
    </w:p>
    <w:p w:rsidR="00922DA8" w:rsidRDefault="00922DA8" w:rsidP="00922DA8">
      <w:pPr>
        <w:pStyle w:val="ListParagraph"/>
        <w:numPr>
          <w:ilvl w:val="0"/>
          <w:numId w:val="4"/>
        </w:numPr>
      </w:pPr>
      <w:r>
        <w:t>Creating you first rule</w:t>
      </w:r>
    </w:p>
    <w:p w:rsidR="00922DA8" w:rsidRDefault="00922DA8" w:rsidP="00922DA8">
      <w:pPr>
        <w:pStyle w:val="ListParagraph"/>
        <w:numPr>
          <w:ilvl w:val="1"/>
          <w:numId w:val="4"/>
        </w:numPr>
      </w:pPr>
      <w:r>
        <w:t>To create a new rule simply add an object to the Rules layer in your model</w:t>
      </w:r>
    </w:p>
    <w:p w:rsidR="00922DA8" w:rsidRDefault="00922DA8" w:rsidP="00922DA8">
      <w:pPr>
        <w:pStyle w:val="ListParagraph"/>
        <w:numPr>
          <w:ilvl w:val="1"/>
          <w:numId w:val="4"/>
        </w:numPr>
      </w:pPr>
      <w:r>
        <w:t>To activate or deactivate the rule use the object allocation state, to deactivate a rule simply set the state to false</w:t>
      </w:r>
    </w:p>
    <w:p w:rsidR="007D66C2" w:rsidRDefault="00922DA8" w:rsidP="00922DA8">
      <w:pPr>
        <w:pStyle w:val="ListParagraph"/>
        <w:numPr>
          <w:ilvl w:val="1"/>
          <w:numId w:val="4"/>
        </w:numPr>
      </w:pPr>
      <w:r>
        <w:t>Now fill in the IRule object attributes</w:t>
      </w:r>
      <w:r w:rsidR="00E47D3B">
        <w:t>, a full list of attributes, their functions and use follows</w:t>
      </w:r>
    </w:p>
    <w:p w:rsidR="00922DA8" w:rsidRDefault="007D66C2" w:rsidP="005C2676">
      <w:pPr>
        <w:pStyle w:val="Heading3"/>
      </w:pPr>
      <w:bookmarkStart w:id="5" w:name="_Toc495478702"/>
      <w:r>
        <w:t>IRule Object Attributes</w:t>
      </w:r>
      <w:bookmarkEnd w:id="5"/>
    </w:p>
    <w:tbl>
      <w:tblPr>
        <w:tblStyle w:val="TableGrid"/>
        <w:tblW w:w="0" w:type="auto"/>
        <w:tblLook w:val="04A0" w:firstRow="1" w:lastRow="0" w:firstColumn="1" w:lastColumn="0" w:noHBand="0" w:noVBand="1"/>
      </w:tblPr>
      <w:tblGrid>
        <w:gridCol w:w="3116"/>
        <w:gridCol w:w="3117"/>
        <w:gridCol w:w="3117"/>
      </w:tblGrid>
      <w:tr w:rsidR="00F50251" w:rsidTr="00F50251">
        <w:tc>
          <w:tcPr>
            <w:tcW w:w="3116" w:type="dxa"/>
          </w:tcPr>
          <w:p w:rsidR="00F50251" w:rsidRDefault="00F50251" w:rsidP="00907B3B">
            <w:r>
              <w:t>Attribute</w:t>
            </w:r>
          </w:p>
        </w:tc>
        <w:tc>
          <w:tcPr>
            <w:tcW w:w="3117" w:type="dxa"/>
          </w:tcPr>
          <w:p w:rsidR="00F50251" w:rsidRDefault="00F50251" w:rsidP="00907B3B">
            <w:r>
              <w:t>Usage</w:t>
            </w:r>
          </w:p>
        </w:tc>
        <w:tc>
          <w:tcPr>
            <w:tcW w:w="3117" w:type="dxa"/>
          </w:tcPr>
          <w:p w:rsidR="00F50251" w:rsidRDefault="00F50251" w:rsidP="00907B3B">
            <w:r>
              <w:t>Syntax</w:t>
            </w:r>
          </w:p>
        </w:tc>
      </w:tr>
      <w:tr w:rsidR="00F50251" w:rsidTr="00F50251">
        <w:tc>
          <w:tcPr>
            <w:tcW w:w="3116" w:type="dxa"/>
          </w:tcPr>
          <w:p w:rsidR="00F50251" w:rsidRDefault="00F50251" w:rsidP="00907B3B">
            <w:r>
              <w:t>Symbol</w:t>
            </w:r>
          </w:p>
        </w:tc>
        <w:tc>
          <w:tcPr>
            <w:tcW w:w="3117" w:type="dxa"/>
          </w:tcPr>
          <w:p w:rsidR="00F50251" w:rsidRDefault="00F50251" w:rsidP="00907B3B">
            <w:r>
              <w:t>Unique identifier</w:t>
            </w:r>
          </w:p>
        </w:tc>
        <w:tc>
          <w:tcPr>
            <w:tcW w:w="3117" w:type="dxa"/>
          </w:tcPr>
          <w:p w:rsidR="00F50251" w:rsidRDefault="00F50251" w:rsidP="00907B3B"/>
        </w:tc>
      </w:tr>
      <w:tr w:rsidR="00F50251" w:rsidTr="00F50251">
        <w:tc>
          <w:tcPr>
            <w:tcW w:w="3116" w:type="dxa"/>
          </w:tcPr>
          <w:p w:rsidR="00F50251" w:rsidRDefault="00F50251" w:rsidP="00907B3B">
            <w:r>
              <w:t>Name</w:t>
            </w:r>
          </w:p>
        </w:tc>
        <w:tc>
          <w:tcPr>
            <w:tcW w:w="3117" w:type="dxa"/>
          </w:tcPr>
          <w:p w:rsidR="00F50251" w:rsidRDefault="00F50251" w:rsidP="00907B3B">
            <w:r>
              <w:t>Name of the Rule</w:t>
            </w:r>
          </w:p>
        </w:tc>
        <w:tc>
          <w:tcPr>
            <w:tcW w:w="3117" w:type="dxa"/>
          </w:tcPr>
          <w:p w:rsidR="00F50251" w:rsidRDefault="00F50251" w:rsidP="00907B3B"/>
        </w:tc>
      </w:tr>
      <w:tr w:rsidR="00F50251" w:rsidTr="00F50251">
        <w:tc>
          <w:tcPr>
            <w:tcW w:w="3116" w:type="dxa"/>
          </w:tcPr>
          <w:p w:rsidR="00F50251" w:rsidRDefault="00F50251" w:rsidP="00907B3B">
            <w:r>
              <w:t>Description</w:t>
            </w:r>
          </w:p>
        </w:tc>
        <w:tc>
          <w:tcPr>
            <w:tcW w:w="3117" w:type="dxa"/>
          </w:tcPr>
          <w:p w:rsidR="00F50251" w:rsidRDefault="00F50251" w:rsidP="00907B3B">
            <w:r>
              <w:t>Description of the Rule, will be applied to every source object</w:t>
            </w:r>
          </w:p>
        </w:tc>
        <w:tc>
          <w:tcPr>
            <w:tcW w:w="3117" w:type="dxa"/>
          </w:tcPr>
          <w:p w:rsidR="00F50251" w:rsidRDefault="00F50251" w:rsidP="00907B3B"/>
        </w:tc>
      </w:tr>
      <w:tr w:rsidR="00F50251" w:rsidTr="00F50251">
        <w:tc>
          <w:tcPr>
            <w:tcW w:w="3116" w:type="dxa"/>
          </w:tcPr>
          <w:p w:rsidR="00F50251" w:rsidRDefault="00F50251" w:rsidP="00907B3B">
            <w:r>
              <w:t>Rule Diagnostics Summary</w:t>
            </w:r>
          </w:p>
        </w:tc>
        <w:tc>
          <w:tcPr>
            <w:tcW w:w="3117" w:type="dxa"/>
          </w:tcPr>
          <w:p w:rsidR="00F50251" w:rsidRDefault="00F50251" w:rsidP="00907B3B">
            <w:r>
              <w:t xml:space="preserve">In case of errors in </w:t>
            </w:r>
            <w:r w:rsidR="007D66C2">
              <w:t>Rule</w:t>
            </w:r>
            <w:r>
              <w:t xml:space="preserve"> application</w:t>
            </w:r>
            <w:r w:rsidR="007D66C2">
              <w:t xml:space="preserve"> or syntax</w:t>
            </w:r>
            <w:r>
              <w:t xml:space="preserve">, delivers detailed explanation </w:t>
            </w:r>
            <w:r w:rsidR="007D66C2">
              <w:t>of error or errors</w:t>
            </w:r>
          </w:p>
        </w:tc>
        <w:tc>
          <w:tcPr>
            <w:tcW w:w="3117" w:type="dxa"/>
          </w:tcPr>
          <w:p w:rsidR="00F50251" w:rsidRDefault="00F50251" w:rsidP="00907B3B">
            <w:r>
              <w:t>Result variable</w:t>
            </w:r>
            <w:r w:rsidR="007D66C2">
              <w:t>, no</w:t>
            </w:r>
            <w:r>
              <w:t xml:space="preserve"> input required</w:t>
            </w:r>
          </w:p>
        </w:tc>
      </w:tr>
      <w:tr w:rsidR="00F50251" w:rsidTr="00F50251">
        <w:tc>
          <w:tcPr>
            <w:tcW w:w="3116" w:type="dxa"/>
          </w:tcPr>
          <w:p w:rsidR="00F50251" w:rsidRDefault="007D66C2" w:rsidP="00907B3B">
            <w:r>
              <w:t>Rule Collision Status</w:t>
            </w:r>
          </w:p>
        </w:tc>
        <w:tc>
          <w:tcPr>
            <w:tcW w:w="3117" w:type="dxa"/>
          </w:tcPr>
          <w:p w:rsidR="00F50251" w:rsidRDefault="007D66C2" w:rsidP="00907B3B">
            <w:r>
              <w:t>In case of the Rule being applied on an object alongside with one or more additional rules, an error will be displayed</w:t>
            </w:r>
          </w:p>
        </w:tc>
        <w:tc>
          <w:tcPr>
            <w:tcW w:w="3117" w:type="dxa"/>
          </w:tcPr>
          <w:p w:rsidR="00F50251" w:rsidRDefault="007D66C2" w:rsidP="00907B3B">
            <w:r>
              <w:t>Result variable</w:t>
            </w:r>
            <w:r>
              <w:t>, no</w:t>
            </w:r>
            <w:r>
              <w:t xml:space="preserve"> input required</w:t>
            </w:r>
          </w:p>
        </w:tc>
      </w:tr>
      <w:tr w:rsidR="00F50251" w:rsidTr="00F50251">
        <w:tc>
          <w:tcPr>
            <w:tcW w:w="3116" w:type="dxa"/>
          </w:tcPr>
          <w:p w:rsidR="00F50251" w:rsidRDefault="007D66C2" w:rsidP="00907B3B">
            <w:r>
              <w:t>Rule Source Object condition</w:t>
            </w:r>
          </w:p>
        </w:tc>
        <w:tc>
          <w:tcPr>
            <w:tcW w:w="3117" w:type="dxa"/>
          </w:tcPr>
          <w:p w:rsidR="00F50251" w:rsidRDefault="007D66C2" w:rsidP="00907B3B">
            <w:r>
              <w:t>Definition of source objects to apply the Rule upon</w:t>
            </w:r>
          </w:p>
        </w:tc>
        <w:tc>
          <w:tcPr>
            <w:tcW w:w="3117" w:type="dxa"/>
          </w:tcPr>
          <w:p w:rsidR="00F50251" w:rsidRDefault="007D66C2" w:rsidP="00907B3B">
            <w:r>
              <w:t>Filter syntax</w:t>
            </w:r>
          </w:p>
        </w:tc>
      </w:tr>
      <w:tr w:rsidR="00F50251" w:rsidTr="00F50251">
        <w:tc>
          <w:tcPr>
            <w:tcW w:w="3116" w:type="dxa"/>
          </w:tcPr>
          <w:p w:rsidR="00F50251" w:rsidRDefault="00BF4F3A" w:rsidP="00907B3B">
            <w:r>
              <w:t>Rule Source Object Allocates</w:t>
            </w:r>
          </w:p>
        </w:tc>
        <w:tc>
          <w:tcPr>
            <w:tcW w:w="3117" w:type="dxa"/>
          </w:tcPr>
          <w:p w:rsidR="00F50251" w:rsidRDefault="00BF4F3A" w:rsidP="00907B3B">
            <w:r>
              <w:t>Sets the object allocation state of the source object</w:t>
            </w:r>
          </w:p>
        </w:tc>
        <w:tc>
          <w:tcPr>
            <w:tcW w:w="3117" w:type="dxa"/>
          </w:tcPr>
          <w:p w:rsidR="00F50251" w:rsidRDefault="00BF4F3A" w:rsidP="00907B3B">
            <w:r>
              <w:t>Value list</w:t>
            </w:r>
          </w:p>
        </w:tc>
      </w:tr>
      <w:tr w:rsidR="007D66C2" w:rsidTr="00F50251">
        <w:tc>
          <w:tcPr>
            <w:tcW w:w="3116" w:type="dxa"/>
          </w:tcPr>
          <w:p w:rsidR="007D66C2" w:rsidRDefault="00BF4F3A" w:rsidP="00907B3B">
            <w:r>
              <w:t>Calculation Rule</w:t>
            </w:r>
          </w:p>
        </w:tc>
        <w:tc>
          <w:tcPr>
            <w:tcW w:w="3117" w:type="dxa"/>
          </w:tcPr>
          <w:p w:rsidR="007D66C2" w:rsidRDefault="00BF4F3A" w:rsidP="00907B3B">
            <w:r>
              <w:t>Sets the calculation rule of the source object</w:t>
            </w:r>
          </w:p>
        </w:tc>
        <w:tc>
          <w:tcPr>
            <w:tcW w:w="3117" w:type="dxa"/>
          </w:tcPr>
          <w:p w:rsidR="007D66C2" w:rsidRDefault="00BF4F3A" w:rsidP="00907B3B">
            <w:r>
              <w:t>Value list</w:t>
            </w:r>
          </w:p>
        </w:tc>
      </w:tr>
      <w:tr w:rsidR="007D66C2" w:rsidTr="00F50251">
        <w:tc>
          <w:tcPr>
            <w:tcW w:w="3116" w:type="dxa"/>
          </w:tcPr>
          <w:p w:rsidR="007D66C2" w:rsidRDefault="00FB2FE0" w:rsidP="00907B3B">
            <w:r>
              <w:t>Rule Rate Attribute symbol</w:t>
            </w:r>
          </w:p>
        </w:tc>
        <w:tc>
          <w:tcPr>
            <w:tcW w:w="3117" w:type="dxa"/>
          </w:tcPr>
          <w:p w:rsidR="007D66C2" w:rsidRDefault="00FB2FE0" w:rsidP="00907B3B">
            <w:r>
              <w:t xml:space="preserve">Sets the rate attribute symbol </w:t>
            </w:r>
            <w:r w:rsidR="003E5FDE">
              <w:t>of the source object when using calculation rule 3 - rate</w:t>
            </w:r>
          </w:p>
        </w:tc>
        <w:tc>
          <w:tcPr>
            <w:tcW w:w="3117" w:type="dxa"/>
          </w:tcPr>
          <w:p w:rsidR="007D66C2" w:rsidRDefault="003E5FDE" w:rsidP="00907B3B">
            <w:r>
              <w:t>Attribute symbol</w:t>
            </w:r>
          </w:p>
        </w:tc>
      </w:tr>
      <w:tr w:rsidR="007D66C2" w:rsidTr="00F50251">
        <w:tc>
          <w:tcPr>
            <w:tcW w:w="3116" w:type="dxa"/>
          </w:tcPr>
          <w:p w:rsidR="007D66C2" w:rsidRDefault="003E5FDE" w:rsidP="00907B3B">
            <w:r>
              <w:t>Delayed allocation order</w:t>
            </w:r>
          </w:p>
        </w:tc>
        <w:tc>
          <w:tcPr>
            <w:tcW w:w="3117" w:type="dxa"/>
          </w:tcPr>
          <w:p w:rsidR="007D66C2" w:rsidRDefault="003E5FDE" w:rsidP="00907B3B">
            <w:r>
              <w:t>Sets the delayed calculation order of the source object</w:t>
            </w:r>
          </w:p>
        </w:tc>
        <w:tc>
          <w:tcPr>
            <w:tcW w:w="3117" w:type="dxa"/>
          </w:tcPr>
          <w:p w:rsidR="007D66C2" w:rsidRDefault="003E5FDE" w:rsidP="00907B3B">
            <w:r>
              <w:t>Value list</w:t>
            </w:r>
          </w:p>
        </w:tc>
      </w:tr>
      <w:tr w:rsidR="007D66C2" w:rsidTr="00F50251">
        <w:tc>
          <w:tcPr>
            <w:tcW w:w="3116" w:type="dxa"/>
          </w:tcPr>
          <w:p w:rsidR="007D66C2" w:rsidRDefault="00344F03" w:rsidP="00907B3B">
            <w:r>
              <w:t>Moment of volume calculation</w:t>
            </w:r>
          </w:p>
        </w:tc>
        <w:tc>
          <w:tcPr>
            <w:tcW w:w="3117" w:type="dxa"/>
          </w:tcPr>
          <w:p w:rsidR="007D66C2" w:rsidRDefault="00344F03" w:rsidP="00907B3B">
            <w:r>
              <w:t>Sets the volume of volume calculation of the source object</w:t>
            </w:r>
          </w:p>
        </w:tc>
        <w:tc>
          <w:tcPr>
            <w:tcW w:w="3117" w:type="dxa"/>
          </w:tcPr>
          <w:p w:rsidR="007D66C2" w:rsidRDefault="00344F03" w:rsidP="00907B3B">
            <w:r>
              <w:t>Value list</w:t>
            </w:r>
          </w:p>
        </w:tc>
      </w:tr>
      <w:tr w:rsidR="007D66C2" w:rsidTr="00F50251">
        <w:tc>
          <w:tcPr>
            <w:tcW w:w="3116" w:type="dxa"/>
          </w:tcPr>
          <w:p w:rsidR="007D66C2" w:rsidRDefault="00344F03" w:rsidP="00907B3B">
            <w:r>
              <w:t xml:space="preserve">Rule capacity </w:t>
            </w:r>
            <w:r w:rsidR="00837503">
              <w:t>Attribute symbol</w:t>
            </w:r>
          </w:p>
        </w:tc>
        <w:tc>
          <w:tcPr>
            <w:tcW w:w="3117" w:type="dxa"/>
          </w:tcPr>
          <w:p w:rsidR="007D66C2" w:rsidRDefault="00837503" w:rsidP="00907B3B">
            <w:r>
              <w:t>Allows to use an attribute to set the capacity attribute of the source object, useful for calculated capacity</w:t>
            </w:r>
          </w:p>
        </w:tc>
        <w:tc>
          <w:tcPr>
            <w:tcW w:w="3117" w:type="dxa"/>
          </w:tcPr>
          <w:p w:rsidR="007D66C2" w:rsidRDefault="00837503" w:rsidP="00907B3B">
            <w:r>
              <w:t>Attribute symbol</w:t>
            </w:r>
          </w:p>
        </w:tc>
      </w:tr>
      <w:tr w:rsidR="007D66C2" w:rsidTr="00F50251">
        <w:tc>
          <w:tcPr>
            <w:tcW w:w="3116" w:type="dxa"/>
          </w:tcPr>
          <w:p w:rsidR="007D66C2" w:rsidRDefault="00D94756" w:rsidP="00907B3B">
            <w:r>
              <w:lastRenderedPageBreak/>
              <w:t>Rule Destination Object Condition</w:t>
            </w:r>
          </w:p>
        </w:tc>
        <w:tc>
          <w:tcPr>
            <w:tcW w:w="3117" w:type="dxa"/>
          </w:tcPr>
          <w:p w:rsidR="007D66C2" w:rsidRDefault="00D46A93" w:rsidP="00907B3B">
            <w:r>
              <w:t xml:space="preserve">The definition of destination objects of each Rule, can be either a static definition or a </w:t>
            </w:r>
            <w:r w:rsidR="00942D67">
              <w:t>dynamic one. The destination object is not limited to allocating objects</w:t>
            </w:r>
          </w:p>
        </w:tc>
        <w:tc>
          <w:tcPr>
            <w:tcW w:w="3117" w:type="dxa"/>
          </w:tcPr>
          <w:p w:rsidR="007D66C2" w:rsidRDefault="00942D67" w:rsidP="00907B3B">
            <w:r>
              <w:t>Static definition: Filter syntax</w:t>
            </w:r>
          </w:p>
          <w:p w:rsidR="00942D67" w:rsidRDefault="00942D67" w:rsidP="00907B3B">
            <w:r>
              <w:t>Dynamic definition: Conditional driver value syntax</w:t>
            </w:r>
          </w:p>
        </w:tc>
      </w:tr>
      <w:tr w:rsidR="007D66C2" w:rsidTr="00F50251">
        <w:tc>
          <w:tcPr>
            <w:tcW w:w="3116" w:type="dxa"/>
          </w:tcPr>
          <w:p w:rsidR="007D66C2" w:rsidRDefault="00942D67" w:rsidP="00907B3B">
            <w:r>
              <w:t>Rule Destination Allocation Value</w:t>
            </w:r>
          </w:p>
        </w:tc>
        <w:tc>
          <w:tcPr>
            <w:tcW w:w="3117" w:type="dxa"/>
          </w:tcPr>
          <w:p w:rsidR="007D66C2" w:rsidRDefault="00942D67" w:rsidP="00907B3B">
            <w:r>
              <w:t>Sets the value 1 attribute of the allocation. The default value is 1</w:t>
            </w:r>
          </w:p>
        </w:tc>
        <w:tc>
          <w:tcPr>
            <w:tcW w:w="3117" w:type="dxa"/>
          </w:tcPr>
          <w:p w:rsidR="007D66C2" w:rsidRDefault="00552ACE" w:rsidP="00907B3B">
            <w:r>
              <w:t>Value or Conditional driver value syntax</w:t>
            </w:r>
          </w:p>
        </w:tc>
      </w:tr>
      <w:tr w:rsidR="007D66C2" w:rsidTr="00F50251">
        <w:tc>
          <w:tcPr>
            <w:tcW w:w="3116" w:type="dxa"/>
          </w:tcPr>
          <w:p w:rsidR="007D66C2" w:rsidRDefault="00552ACE" w:rsidP="00907B3B">
            <w:r>
              <w:t>Driver</w:t>
            </w:r>
          </w:p>
        </w:tc>
        <w:tc>
          <w:tcPr>
            <w:tcW w:w="3117" w:type="dxa"/>
          </w:tcPr>
          <w:p w:rsidR="007D66C2" w:rsidRDefault="00552ACE" w:rsidP="00907B3B">
            <w:r>
              <w:t>Sets the driver attribute for the source object</w:t>
            </w:r>
          </w:p>
        </w:tc>
        <w:tc>
          <w:tcPr>
            <w:tcW w:w="3117" w:type="dxa"/>
          </w:tcPr>
          <w:p w:rsidR="007D66C2" w:rsidRDefault="007D66C2" w:rsidP="00907B3B"/>
        </w:tc>
      </w:tr>
      <w:tr w:rsidR="007D66C2" w:rsidTr="00F50251">
        <w:tc>
          <w:tcPr>
            <w:tcW w:w="3116" w:type="dxa"/>
          </w:tcPr>
          <w:p w:rsidR="007D66C2" w:rsidRDefault="00552ACE" w:rsidP="00907B3B">
            <w:r>
              <w:t>Object Distributes</w:t>
            </w:r>
          </w:p>
        </w:tc>
        <w:tc>
          <w:tcPr>
            <w:tcW w:w="3117" w:type="dxa"/>
          </w:tcPr>
          <w:p w:rsidR="007D66C2" w:rsidRDefault="00552ACE" w:rsidP="00907B3B">
            <w:r>
              <w:t>Sets the object distributes attribute of the source object</w:t>
            </w:r>
          </w:p>
        </w:tc>
        <w:tc>
          <w:tcPr>
            <w:tcW w:w="3117" w:type="dxa"/>
          </w:tcPr>
          <w:p w:rsidR="007D66C2" w:rsidRDefault="00552ACE" w:rsidP="00907B3B">
            <w:r>
              <w:t>Value list</w:t>
            </w:r>
          </w:p>
        </w:tc>
      </w:tr>
      <w:tr w:rsidR="009632AC" w:rsidTr="00F50251">
        <w:tc>
          <w:tcPr>
            <w:tcW w:w="3116" w:type="dxa"/>
          </w:tcPr>
          <w:p w:rsidR="009632AC" w:rsidRDefault="009632AC" w:rsidP="00907B3B">
            <w:r>
              <w:t>Conditional driver</w:t>
            </w:r>
          </w:p>
        </w:tc>
        <w:tc>
          <w:tcPr>
            <w:tcW w:w="3117" w:type="dxa"/>
          </w:tcPr>
          <w:p w:rsidR="009632AC" w:rsidRDefault="009632AC" w:rsidP="00907B3B">
            <w:r>
              <w:t>Sets the conditional driver attribute for the source object</w:t>
            </w:r>
          </w:p>
        </w:tc>
        <w:tc>
          <w:tcPr>
            <w:tcW w:w="3117" w:type="dxa"/>
          </w:tcPr>
          <w:p w:rsidR="009632AC" w:rsidRDefault="008A1F99" w:rsidP="00907B3B">
            <w:r>
              <w:t>Value list</w:t>
            </w:r>
          </w:p>
        </w:tc>
      </w:tr>
      <w:tr w:rsidR="009632AC" w:rsidTr="00F50251">
        <w:tc>
          <w:tcPr>
            <w:tcW w:w="3116" w:type="dxa"/>
          </w:tcPr>
          <w:p w:rsidR="009632AC" w:rsidRDefault="009632AC" w:rsidP="00907B3B">
            <w:r>
              <w:t>Conditional driver value</w:t>
            </w:r>
          </w:p>
        </w:tc>
        <w:tc>
          <w:tcPr>
            <w:tcW w:w="3117" w:type="dxa"/>
          </w:tcPr>
          <w:p w:rsidR="009632AC" w:rsidRDefault="009632AC" w:rsidP="00907B3B">
            <w:r>
              <w:t>Sets the conditional driver value attribute for the source object</w:t>
            </w:r>
          </w:p>
        </w:tc>
        <w:tc>
          <w:tcPr>
            <w:tcW w:w="3117" w:type="dxa"/>
          </w:tcPr>
          <w:p w:rsidR="009632AC" w:rsidRDefault="008A1F99" w:rsidP="00907B3B">
            <w:r>
              <w:t>Conditional driver value syntax</w:t>
            </w:r>
          </w:p>
        </w:tc>
      </w:tr>
      <w:tr w:rsidR="00C33C17" w:rsidTr="00F50251">
        <w:tc>
          <w:tcPr>
            <w:tcW w:w="3116" w:type="dxa"/>
          </w:tcPr>
          <w:p w:rsidR="00C33C17" w:rsidRDefault="00C33C17" w:rsidP="00C33C17">
            <w:r>
              <w:t>Rule Residue Destination Object Condition</w:t>
            </w:r>
          </w:p>
        </w:tc>
        <w:tc>
          <w:tcPr>
            <w:tcW w:w="3117" w:type="dxa"/>
          </w:tcPr>
          <w:p w:rsidR="00C33C17" w:rsidRDefault="00C33C17" w:rsidP="00C33C17">
            <w:r>
              <w:t>The definition of destination</w:t>
            </w:r>
            <w:r>
              <w:t xml:space="preserve"> residue</w:t>
            </w:r>
            <w:r>
              <w:t xml:space="preserve"> objects of each Rule, can be either a static definition or a dynamic one</w:t>
            </w:r>
          </w:p>
        </w:tc>
        <w:tc>
          <w:tcPr>
            <w:tcW w:w="3117" w:type="dxa"/>
          </w:tcPr>
          <w:p w:rsidR="00C33C17" w:rsidRDefault="00C33C17" w:rsidP="00C33C17">
            <w:r>
              <w:t>Static definition: Filter syntax</w:t>
            </w:r>
          </w:p>
          <w:p w:rsidR="00C33C17" w:rsidRDefault="00C33C17" w:rsidP="00C33C17">
            <w:r>
              <w:t>Dynamic definition: Conditional driver value syntax</w:t>
            </w:r>
          </w:p>
        </w:tc>
      </w:tr>
      <w:tr w:rsidR="00C33C17" w:rsidTr="00F50251">
        <w:tc>
          <w:tcPr>
            <w:tcW w:w="3116" w:type="dxa"/>
          </w:tcPr>
          <w:p w:rsidR="00C33C17" w:rsidRDefault="00C33C17" w:rsidP="00C33C17">
            <w:r>
              <w:t>Rule Residue Default Value</w:t>
            </w:r>
          </w:p>
        </w:tc>
        <w:tc>
          <w:tcPr>
            <w:tcW w:w="3117" w:type="dxa"/>
          </w:tcPr>
          <w:p w:rsidR="00C33C17" w:rsidRDefault="00C33C17" w:rsidP="00C33C17">
            <w:r>
              <w:t>Sets the value 1 attribute of the</w:t>
            </w:r>
            <w:r>
              <w:t xml:space="preserve"> residue</w:t>
            </w:r>
            <w:r>
              <w:t xml:space="preserve"> allocation. The default value is 1</w:t>
            </w:r>
          </w:p>
        </w:tc>
        <w:tc>
          <w:tcPr>
            <w:tcW w:w="3117" w:type="dxa"/>
          </w:tcPr>
          <w:p w:rsidR="00C33C17" w:rsidRDefault="00731641" w:rsidP="00C33C17">
            <w:r>
              <w:t>Value or Conditional driver value syntax</w:t>
            </w:r>
          </w:p>
        </w:tc>
      </w:tr>
    </w:tbl>
    <w:p w:rsidR="00BA3804" w:rsidRDefault="00BA3804" w:rsidP="00907B3B"/>
    <w:p w:rsidR="00BA3804" w:rsidRDefault="00BA3804" w:rsidP="005C2676">
      <w:pPr>
        <w:pStyle w:val="Heading3"/>
      </w:pPr>
      <w:bookmarkStart w:id="6" w:name="_Toc495478703"/>
      <w:r>
        <w:t>Object Rule Attributes</w:t>
      </w:r>
      <w:bookmarkEnd w:id="6"/>
    </w:p>
    <w:tbl>
      <w:tblPr>
        <w:tblStyle w:val="TableGrid"/>
        <w:tblW w:w="0" w:type="auto"/>
        <w:tblLook w:val="04A0" w:firstRow="1" w:lastRow="0" w:firstColumn="1" w:lastColumn="0" w:noHBand="0" w:noVBand="1"/>
      </w:tblPr>
      <w:tblGrid>
        <w:gridCol w:w="3235"/>
        <w:gridCol w:w="6061"/>
      </w:tblGrid>
      <w:tr w:rsidR="001251B6" w:rsidTr="001251B6">
        <w:trPr>
          <w:trHeight w:val="272"/>
        </w:trPr>
        <w:tc>
          <w:tcPr>
            <w:tcW w:w="3235" w:type="dxa"/>
          </w:tcPr>
          <w:p w:rsidR="001251B6" w:rsidRDefault="001251B6" w:rsidP="00BA3804">
            <w:r>
              <w:t>Attribute</w:t>
            </w:r>
          </w:p>
        </w:tc>
        <w:tc>
          <w:tcPr>
            <w:tcW w:w="6061" w:type="dxa"/>
          </w:tcPr>
          <w:p w:rsidR="001251B6" w:rsidRDefault="001251B6" w:rsidP="00BA3804">
            <w:r>
              <w:t>Usage</w:t>
            </w:r>
          </w:p>
        </w:tc>
      </w:tr>
      <w:tr w:rsidR="001251B6" w:rsidTr="001251B6">
        <w:trPr>
          <w:trHeight w:val="272"/>
        </w:trPr>
        <w:tc>
          <w:tcPr>
            <w:tcW w:w="3235" w:type="dxa"/>
          </w:tcPr>
          <w:p w:rsidR="001251B6" w:rsidRDefault="001251B6" w:rsidP="00BA3804">
            <w:r>
              <w:t>Applied Rule</w:t>
            </w:r>
          </w:p>
        </w:tc>
        <w:tc>
          <w:tcPr>
            <w:tcW w:w="6061" w:type="dxa"/>
          </w:tcPr>
          <w:p w:rsidR="001251B6" w:rsidRDefault="001251B6" w:rsidP="00BA3804">
            <w:r>
              <w:t>The symbol and name of the Rule applied on the object</w:t>
            </w:r>
          </w:p>
        </w:tc>
      </w:tr>
      <w:tr w:rsidR="001251B6" w:rsidTr="001251B6">
        <w:trPr>
          <w:trHeight w:val="280"/>
        </w:trPr>
        <w:tc>
          <w:tcPr>
            <w:tcW w:w="3235" w:type="dxa"/>
          </w:tcPr>
          <w:p w:rsidR="001251B6" w:rsidRDefault="001251B6" w:rsidP="00BA3804">
            <w:r>
              <w:t xml:space="preserve">Applied Rule Description </w:t>
            </w:r>
          </w:p>
        </w:tc>
        <w:tc>
          <w:tcPr>
            <w:tcW w:w="6061" w:type="dxa"/>
          </w:tcPr>
          <w:p w:rsidR="001251B6" w:rsidRDefault="001251B6" w:rsidP="00BA3804">
            <w:r>
              <w:t>The description of the rule applied on the object</w:t>
            </w:r>
          </w:p>
        </w:tc>
      </w:tr>
      <w:tr w:rsidR="001251B6" w:rsidTr="001251B6">
        <w:trPr>
          <w:trHeight w:val="272"/>
        </w:trPr>
        <w:tc>
          <w:tcPr>
            <w:tcW w:w="3235" w:type="dxa"/>
          </w:tcPr>
          <w:p w:rsidR="001251B6" w:rsidRDefault="001251B6" w:rsidP="00BA3804">
            <w:r>
              <w:t>Rule Override</w:t>
            </w:r>
          </w:p>
        </w:tc>
        <w:tc>
          <w:tcPr>
            <w:tcW w:w="6061" w:type="dxa"/>
          </w:tcPr>
          <w:p w:rsidR="001251B6" w:rsidRDefault="001251B6" w:rsidP="00BA3804">
            <w:r>
              <w:t>Allows to set the rule to ignore this object as a source object</w:t>
            </w:r>
          </w:p>
        </w:tc>
      </w:tr>
    </w:tbl>
    <w:p w:rsidR="00BA3804" w:rsidRDefault="00BA3804" w:rsidP="00907B3B"/>
    <w:p w:rsidR="001251B6" w:rsidRDefault="001251B6" w:rsidP="005C2676">
      <w:pPr>
        <w:pStyle w:val="Heading3"/>
      </w:pPr>
      <w:bookmarkStart w:id="7" w:name="_Toc495478704"/>
      <w:r>
        <w:t>Allocation Rule Attributes</w:t>
      </w:r>
      <w:bookmarkEnd w:id="7"/>
    </w:p>
    <w:tbl>
      <w:tblPr>
        <w:tblStyle w:val="TableGrid"/>
        <w:tblW w:w="0" w:type="auto"/>
        <w:tblLook w:val="04A0" w:firstRow="1" w:lastRow="0" w:firstColumn="1" w:lastColumn="0" w:noHBand="0" w:noVBand="1"/>
      </w:tblPr>
      <w:tblGrid>
        <w:gridCol w:w="3235"/>
        <w:gridCol w:w="6115"/>
      </w:tblGrid>
      <w:tr w:rsidR="001251B6" w:rsidTr="001251B6">
        <w:tc>
          <w:tcPr>
            <w:tcW w:w="3235" w:type="dxa"/>
          </w:tcPr>
          <w:p w:rsidR="001251B6" w:rsidRDefault="001251B6" w:rsidP="001251B6">
            <w:r>
              <w:t>Attribute</w:t>
            </w:r>
          </w:p>
        </w:tc>
        <w:tc>
          <w:tcPr>
            <w:tcW w:w="6115" w:type="dxa"/>
          </w:tcPr>
          <w:p w:rsidR="001251B6" w:rsidRDefault="001251B6" w:rsidP="001251B6">
            <w:r>
              <w:t>Usage</w:t>
            </w:r>
          </w:p>
        </w:tc>
      </w:tr>
      <w:tr w:rsidR="001251B6" w:rsidTr="001251B6">
        <w:tc>
          <w:tcPr>
            <w:tcW w:w="3235" w:type="dxa"/>
          </w:tcPr>
          <w:p w:rsidR="001251B6" w:rsidRDefault="001251B6" w:rsidP="001251B6">
            <w:r>
              <w:t>Allocation Created by Rule</w:t>
            </w:r>
          </w:p>
        </w:tc>
        <w:tc>
          <w:tcPr>
            <w:tcW w:w="6115" w:type="dxa"/>
          </w:tcPr>
          <w:p w:rsidR="001251B6" w:rsidRDefault="001251B6" w:rsidP="001251B6">
            <w:r>
              <w:t>Designates the symbol and name of the rule that created the allocation</w:t>
            </w:r>
          </w:p>
        </w:tc>
      </w:tr>
      <w:tr w:rsidR="001251B6" w:rsidTr="001251B6">
        <w:tc>
          <w:tcPr>
            <w:tcW w:w="3235" w:type="dxa"/>
          </w:tcPr>
          <w:p w:rsidR="001251B6" w:rsidRDefault="001251B6" w:rsidP="001251B6">
            <w:r>
              <w:t>IRule Allocation Override</w:t>
            </w:r>
          </w:p>
        </w:tc>
        <w:tc>
          <w:tcPr>
            <w:tcW w:w="6115" w:type="dxa"/>
          </w:tcPr>
          <w:p w:rsidR="001251B6" w:rsidRDefault="001251B6" w:rsidP="001251B6">
            <w:r>
              <w:t>Allows to set the rule to ignore this allocation when applying a rule on the source object</w:t>
            </w:r>
          </w:p>
        </w:tc>
      </w:tr>
    </w:tbl>
    <w:p w:rsidR="001251B6" w:rsidRDefault="001251B6" w:rsidP="00907B3B"/>
    <w:sectPr w:rsidR="001251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92361F"/>
    <w:multiLevelType w:val="hybridMultilevel"/>
    <w:tmpl w:val="F01C2A3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1283A"/>
    <w:multiLevelType w:val="hybridMultilevel"/>
    <w:tmpl w:val="CFAA46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372E63"/>
    <w:multiLevelType w:val="hybridMultilevel"/>
    <w:tmpl w:val="A4B89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5D672B"/>
    <w:multiLevelType w:val="hybridMultilevel"/>
    <w:tmpl w:val="4FD29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8265F5"/>
    <w:multiLevelType w:val="hybridMultilevel"/>
    <w:tmpl w:val="6812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22B"/>
    <w:rsid w:val="00000F96"/>
    <w:rsid w:val="001251B6"/>
    <w:rsid w:val="002A0B27"/>
    <w:rsid w:val="00344F03"/>
    <w:rsid w:val="003A2287"/>
    <w:rsid w:val="003C2592"/>
    <w:rsid w:val="003E5FDE"/>
    <w:rsid w:val="00552ACE"/>
    <w:rsid w:val="005C2676"/>
    <w:rsid w:val="00731641"/>
    <w:rsid w:val="00780777"/>
    <w:rsid w:val="007D66C2"/>
    <w:rsid w:val="00822164"/>
    <w:rsid w:val="00837503"/>
    <w:rsid w:val="00890684"/>
    <w:rsid w:val="008A1F99"/>
    <w:rsid w:val="008B522B"/>
    <w:rsid w:val="00907B3B"/>
    <w:rsid w:val="00922DA8"/>
    <w:rsid w:val="00942D67"/>
    <w:rsid w:val="009632AC"/>
    <w:rsid w:val="00A17616"/>
    <w:rsid w:val="00B938A7"/>
    <w:rsid w:val="00BA3804"/>
    <w:rsid w:val="00BF4F3A"/>
    <w:rsid w:val="00C33C17"/>
    <w:rsid w:val="00D46A93"/>
    <w:rsid w:val="00D94756"/>
    <w:rsid w:val="00E47D3B"/>
    <w:rsid w:val="00F50251"/>
    <w:rsid w:val="00FB2FE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003C7"/>
  <w15:chartTrackingRefBased/>
  <w15:docId w15:val="{99FFF4F7-3ABC-4630-B45F-F64C1168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26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26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C267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22B"/>
    <w:pPr>
      <w:ind w:left="720"/>
      <w:contextualSpacing/>
    </w:pPr>
  </w:style>
  <w:style w:type="table" w:styleId="TableGrid">
    <w:name w:val="Table Grid"/>
    <w:basedOn w:val="TableNormal"/>
    <w:uiPriority w:val="39"/>
    <w:rsid w:val="00F50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C2676"/>
    <w:rPr>
      <w:color w:val="0563C1" w:themeColor="hyperlink"/>
      <w:u w:val="single"/>
    </w:rPr>
  </w:style>
  <w:style w:type="character" w:styleId="UnresolvedMention">
    <w:name w:val="Unresolved Mention"/>
    <w:basedOn w:val="DefaultParagraphFont"/>
    <w:uiPriority w:val="99"/>
    <w:semiHidden/>
    <w:unhideWhenUsed/>
    <w:rsid w:val="005C2676"/>
    <w:rPr>
      <w:color w:val="808080"/>
      <w:shd w:val="clear" w:color="auto" w:fill="E6E6E6"/>
    </w:rPr>
  </w:style>
  <w:style w:type="character" w:customStyle="1" w:styleId="Heading1Char">
    <w:name w:val="Heading 1 Char"/>
    <w:basedOn w:val="DefaultParagraphFont"/>
    <w:link w:val="Heading1"/>
    <w:uiPriority w:val="9"/>
    <w:rsid w:val="005C267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C267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C2676"/>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5C2676"/>
    <w:pPr>
      <w:outlineLvl w:val="9"/>
    </w:pPr>
    <w:rPr>
      <w:lang w:bidi="ar-SA"/>
    </w:rPr>
  </w:style>
  <w:style w:type="paragraph" w:styleId="TOC2">
    <w:name w:val="toc 2"/>
    <w:basedOn w:val="Normal"/>
    <w:next w:val="Normal"/>
    <w:autoRedefine/>
    <w:uiPriority w:val="39"/>
    <w:unhideWhenUsed/>
    <w:rsid w:val="005C2676"/>
    <w:pPr>
      <w:spacing w:after="100"/>
      <w:ind w:left="220"/>
    </w:pPr>
    <w:rPr>
      <w:rFonts w:eastAsiaTheme="minorEastAsia" w:cs="Times New Roman"/>
      <w:lang w:bidi="ar-SA"/>
    </w:rPr>
  </w:style>
  <w:style w:type="paragraph" w:styleId="TOC1">
    <w:name w:val="toc 1"/>
    <w:basedOn w:val="Normal"/>
    <w:next w:val="Normal"/>
    <w:autoRedefine/>
    <w:uiPriority w:val="39"/>
    <w:unhideWhenUsed/>
    <w:rsid w:val="005C2676"/>
    <w:pPr>
      <w:spacing w:after="100"/>
    </w:pPr>
    <w:rPr>
      <w:rFonts w:eastAsiaTheme="minorEastAsia" w:cs="Times New Roman"/>
      <w:lang w:bidi="ar-SA"/>
    </w:rPr>
  </w:style>
  <w:style w:type="paragraph" w:styleId="TOC3">
    <w:name w:val="toc 3"/>
    <w:basedOn w:val="Normal"/>
    <w:next w:val="Normal"/>
    <w:autoRedefine/>
    <w:uiPriority w:val="39"/>
    <w:unhideWhenUsed/>
    <w:rsid w:val="005C2676"/>
    <w:pPr>
      <w:spacing w:after="100"/>
      <w:ind w:left="440"/>
    </w:pPr>
    <w:rPr>
      <w:rFonts w:eastAsiaTheme="minorEastAsia"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n-sight-analytic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2B"/>
    <w:rsid w:val="00434DA6"/>
    <w:rsid w:val="00A34A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16320BE8914DB39453E58B1DC27B02">
    <w:name w:val="9816320BE8914DB39453E58B1DC27B02"/>
    <w:rsid w:val="00A34A2B"/>
  </w:style>
  <w:style w:type="paragraph" w:customStyle="1" w:styleId="0516447B85AC404ABD9660D4353C2513">
    <w:name w:val="0516447B85AC404ABD9660D4353C2513"/>
    <w:rsid w:val="00A34A2B"/>
  </w:style>
  <w:style w:type="paragraph" w:customStyle="1" w:styleId="3880D6BF4B70495B8C66648E1B23A062">
    <w:name w:val="3880D6BF4B70495B8C66648E1B23A062"/>
    <w:rsid w:val="00A34A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ECCC8-42F2-4B6C-84C6-A61D79F89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4</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14</cp:revision>
  <dcterms:created xsi:type="dcterms:W3CDTF">2017-10-10T21:28:00Z</dcterms:created>
  <dcterms:modified xsi:type="dcterms:W3CDTF">2017-10-11T06:49:00Z</dcterms:modified>
</cp:coreProperties>
</file>